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8E" w:rsidRDefault="00990E2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</w:t>
      </w:r>
    </w:p>
    <w:p w:rsidR="00B45E8E" w:rsidRDefault="00B45E8E">
      <w:pPr>
        <w:jc w:val="center"/>
        <w:rPr>
          <w:rFonts w:ascii="Verdana" w:hAnsi="Verdana"/>
          <w:b/>
        </w:rPr>
      </w:pPr>
    </w:p>
    <w:p w:rsidR="00B45E8E" w:rsidRDefault="00990E2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ИНСТРУКЦИЯ ДЛЯ КОНТРАГЕНТОВ ООО «Торговый дом ММК»</w:t>
      </w:r>
    </w:p>
    <w:p w:rsidR="00B45E8E" w:rsidRDefault="00990E2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ПО ПЕРЕДАЧЕ ДОКУМЕНТОВ В ЭДО </w:t>
      </w:r>
    </w:p>
    <w:p w:rsidR="00B45E8E" w:rsidRDefault="00B45E8E">
      <w:pPr>
        <w:jc w:val="both"/>
        <w:rPr>
          <w:rFonts w:ascii="Verdana" w:hAnsi="Verdana"/>
          <w:sz w:val="22"/>
          <w:szCs w:val="22"/>
        </w:rPr>
      </w:pPr>
    </w:p>
    <w:p w:rsidR="00B45E8E" w:rsidRDefault="00990E25">
      <w:pPr>
        <w:numPr>
          <w:ilvl w:val="0"/>
          <w:numId w:val="2"/>
        </w:numPr>
        <w:ind w:left="0" w:firstLine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ОБЩИЕ ПОЛОЖЕНИЯ</w:t>
      </w:r>
    </w:p>
    <w:p w:rsidR="00B45E8E" w:rsidRDefault="00B45E8E">
      <w:pPr>
        <w:ind w:left="709"/>
        <w:rPr>
          <w:rFonts w:ascii="Verdana" w:hAnsi="Verdana"/>
          <w:sz w:val="22"/>
          <w:szCs w:val="22"/>
        </w:rPr>
      </w:pP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Инструкция предназначена для контрагентов, заключивших с ООО «Торговый дом ММК» соглашение об обмене электронными документами.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Инструкция устанавливает условия и порядок обмена электронными документами, указанными в приложении 1 к соглашению об ЭДО, при осуществлении ЭДО во исполнение своих обязательств по всем заключенным между Сторонами договорам, по договорам, которые будут заключены в будущем. Документы, требующие длительного хранения, государственной регистрации, предусматривающие особый порядок заключения подписываются сторонами на бумажном носителе.</w:t>
      </w:r>
    </w:p>
    <w:p w:rsidR="00B45E8E" w:rsidRDefault="00B45E8E">
      <w:pPr>
        <w:ind w:left="709"/>
        <w:jc w:val="both"/>
        <w:rPr>
          <w:rFonts w:ascii="Verdana" w:hAnsi="Verdana"/>
          <w:sz w:val="22"/>
          <w:szCs w:val="22"/>
        </w:rPr>
      </w:pPr>
    </w:p>
    <w:p w:rsidR="00B45E8E" w:rsidRDefault="00990E25">
      <w:pPr>
        <w:numPr>
          <w:ilvl w:val="0"/>
          <w:numId w:val="2"/>
        </w:numPr>
        <w:ind w:left="0" w:firstLine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ТЕРМИНЫ И ОПРЕДЕЛЕНИЯ</w:t>
      </w:r>
    </w:p>
    <w:p w:rsidR="00B45E8E" w:rsidRDefault="00B45E8E">
      <w:pPr>
        <w:ind w:left="709"/>
        <w:rPr>
          <w:rFonts w:ascii="Verdana" w:hAnsi="Verdana"/>
          <w:sz w:val="22"/>
          <w:szCs w:val="22"/>
        </w:rPr>
      </w:pP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Электронный документ (ЭД)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 Сторон. Электронный документ может быть формализованным и неформализованным. 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:rsidR="00B45E8E" w:rsidRDefault="00990E25">
      <w:pPr>
        <w:numPr>
          <w:ilvl w:val="2"/>
          <w:numId w:val="2"/>
        </w:numPr>
        <w:ind w:left="0"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власти, уполномоченным в сфере использования электронной подписи.</w:t>
      </w:r>
    </w:p>
    <w:p w:rsidR="00B45E8E" w:rsidRDefault="00990E25">
      <w:pPr>
        <w:numPr>
          <w:ilvl w:val="2"/>
          <w:numId w:val="2"/>
        </w:numPr>
        <w:tabs>
          <w:tab w:val="left" w:pos="993"/>
        </w:tabs>
        <w:ind w:left="0"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Неквалифицированная ЭП (НЭП) - вид усиленной электронной подписи, ключ проверки которой указан в сертификате ключа проверки электронной подписи - электронном документе или документе на бумажном носителе, выданном удостоверяющим центром либо доверенным лицом удостоверяющего центра и подтверждающим принадлежность ключа проверки электронной подписи владельцу сертификата ключа проверки электронной подписи. </w:t>
      </w:r>
    </w:p>
    <w:p w:rsidR="00B45E8E" w:rsidRDefault="00990E25">
      <w:pPr>
        <w:numPr>
          <w:ilvl w:val="1"/>
          <w:numId w:val="2"/>
        </w:numPr>
        <w:ind w:left="0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Электронный документооборот (ЭДО) – процесс обмена электронными документами, подписанными КЭП, между Сторонами.</w:t>
      </w:r>
    </w:p>
    <w:p w:rsidR="00B45E8E" w:rsidRDefault="00990E25">
      <w:pPr>
        <w:numPr>
          <w:ilvl w:val="1"/>
          <w:numId w:val="2"/>
        </w:numPr>
        <w:ind w:left="0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соответствии с действующим законодательством РФ.</w:t>
      </w:r>
    </w:p>
    <w:p w:rsidR="00B45E8E" w:rsidRDefault="00990E25">
      <w:pPr>
        <w:numPr>
          <w:ilvl w:val="1"/>
          <w:numId w:val="2"/>
        </w:numPr>
        <w:ind w:left="0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Направляющая Сторона – Сторона-1 или Сторона-2, направляющая документ в электронном виде по телекоммуникационным каналам связи другой Стороне.</w:t>
      </w:r>
    </w:p>
    <w:p w:rsidR="00B45E8E" w:rsidRDefault="00990E25">
      <w:pPr>
        <w:numPr>
          <w:ilvl w:val="1"/>
          <w:numId w:val="2"/>
        </w:numPr>
        <w:ind w:left="0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Получающая Сторона – Сторона-1 или Сторона-2, получающая от Направляющей Стороны документ в электронном виде по телекоммуникационным каналам связи.</w:t>
      </w:r>
    </w:p>
    <w:p w:rsidR="00B45E8E" w:rsidRDefault="00990E25">
      <w:pPr>
        <w:numPr>
          <w:ilvl w:val="1"/>
          <w:numId w:val="2"/>
        </w:numPr>
        <w:ind w:left="0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Документ – общее название документов, которыми обмениваются Стороны настоящего Соглашения.</w:t>
      </w:r>
    </w:p>
    <w:p w:rsidR="00B45E8E" w:rsidRDefault="00990E25">
      <w:pPr>
        <w:numPr>
          <w:ilvl w:val="1"/>
          <w:numId w:val="2"/>
        </w:numPr>
        <w:ind w:left="0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Прямой обмен – обмен электронными документами между хозяйствующими субъектами без участия Оператора.</w:t>
      </w:r>
    </w:p>
    <w:p w:rsidR="00B45E8E" w:rsidRDefault="00990E25">
      <w:pPr>
        <w:numPr>
          <w:ilvl w:val="1"/>
          <w:numId w:val="2"/>
        </w:numPr>
        <w:ind w:left="0" w:firstLine="567"/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Удостоверяющий центр (УЦ) – юридическое лицо или индивидуальный предприниматель, осуществляющие функции по созданию и выдаче сертификатов ключей проверки электронных подписей, а также иные функции, предусмотренные </w:t>
      </w:r>
      <w:r>
        <w:rPr>
          <w:rFonts w:ascii="Verdana" w:hAnsi="Verdana" w:cs="Verdana"/>
          <w:bCs/>
          <w:sz w:val="22"/>
          <w:szCs w:val="22"/>
        </w:rPr>
        <w:t>Федеральным законом от 06.04.2011 N 63-ФЗ «Об электронной подписи».</w:t>
      </w:r>
    </w:p>
    <w:p w:rsidR="00B45E8E" w:rsidRDefault="00990E25">
      <w:pPr>
        <w:numPr>
          <w:ilvl w:val="1"/>
          <w:numId w:val="2"/>
        </w:numPr>
        <w:ind w:left="0" w:firstLine="567"/>
        <w:jc w:val="both"/>
      </w:pPr>
      <w:r>
        <w:rPr>
          <w:rFonts w:ascii="Verdana" w:hAnsi="Verdana"/>
          <w:sz w:val="22"/>
          <w:szCs w:val="22"/>
        </w:rPr>
        <w:t xml:space="preserve">Подтверждение даты отправки (ПДО) - формируемый </w:t>
      </w:r>
      <w:hyperlink r:id="rId5" w:tgtFrame="Оператор связи">
        <w:r>
          <w:rPr>
            <w:rStyle w:val="ListLabel11"/>
          </w:rPr>
          <w:t>оператором связи</w:t>
        </w:r>
      </w:hyperlink>
      <w:r>
        <w:rPr>
          <w:rFonts w:ascii="Verdana" w:hAnsi="Verdana"/>
          <w:sz w:val="22"/>
          <w:szCs w:val="22"/>
        </w:rPr>
        <w:t xml:space="preserve"> </w:t>
      </w:r>
      <w:hyperlink r:id="rId6" w:tgtFrame="Электронный документ">
        <w:r>
          <w:rPr>
            <w:rStyle w:val="ListLabel11"/>
          </w:rPr>
          <w:t>электронный документ</w:t>
        </w:r>
      </w:hyperlink>
      <w:r>
        <w:rPr>
          <w:rFonts w:ascii="Verdana" w:hAnsi="Verdana"/>
          <w:sz w:val="22"/>
          <w:szCs w:val="22"/>
        </w:rPr>
        <w:t>, в котором указано имя файла, отправитель, получатель, дата и время отправки Стороной электронных документов по телекоммуникационным каналам связи.</w:t>
      </w:r>
    </w:p>
    <w:p w:rsidR="00B45E8E" w:rsidRDefault="00990E25">
      <w:pPr>
        <w:numPr>
          <w:ilvl w:val="1"/>
          <w:numId w:val="2"/>
        </w:numPr>
        <w:ind w:left="0" w:firstLine="567"/>
        <w:jc w:val="both"/>
      </w:pPr>
      <w:r>
        <w:rPr>
          <w:rFonts w:ascii="Verdana" w:hAnsi="Verdana"/>
          <w:sz w:val="22"/>
          <w:szCs w:val="22"/>
        </w:rPr>
        <w:t xml:space="preserve">Извещение о получении (ИОП) – электронный документ, подписанный </w:t>
      </w:r>
      <w:hyperlink r:id="rId7" w:tgtFrame="ЭП">
        <w:r>
          <w:rPr>
            <w:rStyle w:val="ListLabel11"/>
          </w:rPr>
          <w:t>ЭП</w:t>
        </w:r>
      </w:hyperlink>
      <w:r>
        <w:rPr>
          <w:rFonts w:ascii="Verdana" w:hAnsi="Verdana"/>
          <w:sz w:val="22"/>
          <w:szCs w:val="22"/>
        </w:rPr>
        <w:t xml:space="preserve"> участника ЭДО. Наличие извещения о получении свидетельствует о том, что получателем был получен </w:t>
      </w:r>
      <w:hyperlink r:id="rId8" w:tgtFrame="Электронный документ">
        <w:r>
          <w:rPr>
            <w:rStyle w:val="ListLabel11"/>
          </w:rPr>
          <w:t>электронный документ</w:t>
        </w:r>
      </w:hyperlink>
      <w:r>
        <w:rPr>
          <w:rFonts w:ascii="Verdana" w:hAnsi="Verdana"/>
          <w:sz w:val="22"/>
          <w:szCs w:val="22"/>
        </w:rPr>
        <w:t>. Квитанция отсылается автоматически сразу после получения электронного документа.</w:t>
      </w:r>
    </w:p>
    <w:p w:rsidR="00B45E8E" w:rsidRDefault="00990E25">
      <w:pPr>
        <w:numPr>
          <w:ilvl w:val="1"/>
          <w:numId w:val="2"/>
        </w:numPr>
        <w:ind w:left="0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Титул покупателя (ТП), титул заказчика (ТЗ) – электронные документы, формализованные в соответствии с приказами ФНС РФ (Приложение 1 к соглашению об ЭДО).</w:t>
      </w:r>
    </w:p>
    <w:p w:rsidR="00B45E8E" w:rsidRDefault="00990E25">
      <w:pPr>
        <w:numPr>
          <w:ilvl w:val="1"/>
          <w:numId w:val="2"/>
        </w:numPr>
        <w:ind w:left="0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Транспортный контейнер – единица передачи информации через транспортную шину.</w:t>
      </w:r>
    </w:p>
    <w:p w:rsidR="00B45E8E" w:rsidRDefault="00990E25">
      <w:pPr>
        <w:numPr>
          <w:ilvl w:val="1"/>
          <w:numId w:val="2"/>
        </w:numPr>
        <w:ind w:left="0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Уведомление об уточнении (УОУ) – электронный документ формализованный в соответствии с приказом ФНС РФ от 30.01.2012 № ММВ-7-6/36@ "</w:t>
      </w:r>
      <w:r>
        <w:t>О</w:t>
      </w:r>
      <w:r>
        <w:rPr>
          <w:rFonts w:ascii="Verdana" w:hAnsi="Verdana"/>
          <w:sz w:val="22"/>
          <w:szCs w:val="22"/>
        </w:rPr>
        <w:t>б утверждении форматов представления документов, используемых при выставлении и получении счетов-фактур в электронном виде по телекоммуникационным каналам связи с применением электронной подписи".</w:t>
      </w:r>
    </w:p>
    <w:p w:rsidR="00B45E8E" w:rsidRDefault="00990E25">
      <w:pPr>
        <w:numPr>
          <w:ilvl w:val="1"/>
          <w:numId w:val="2"/>
        </w:numPr>
        <w:ind w:left="0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Формализованные документы – документы, для которых приказами ФНС утверждены форматы </w:t>
      </w:r>
      <w:r>
        <w:rPr>
          <w:rFonts w:ascii="Verdana" w:hAnsi="Verdana"/>
          <w:sz w:val="22"/>
          <w:szCs w:val="22"/>
          <w:lang w:val="en-US"/>
        </w:rPr>
        <w:t>XML</w:t>
      </w:r>
      <w:r>
        <w:rPr>
          <w:rFonts w:ascii="Verdana" w:hAnsi="Verdana"/>
          <w:sz w:val="22"/>
          <w:szCs w:val="22"/>
        </w:rPr>
        <w:t xml:space="preserve"> файла обмена данными в электронном виде. Список приведен в Приложении 1 к соглашению об ЭДО.</w:t>
      </w:r>
    </w:p>
    <w:p w:rsidR="00B45E8E" w:rsidRDefault="00990E25">
      <w:pPr>
        <w:numPr>
          <w:ilvl w:val="1"/>
          <w:numId w:val="2"/>
        </w:numPr>
        <w:ind w:left="0"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Неформализованные документы – документы, обмен которыми в электронном виде производится в произвольном формате. Список приведен в Приложении 1 к соглашению об ЭДО.</w:t>
      </w:r>
    </w:p>
    <w:p w:rsidR="00B45E8E" w:rsidRDefault="00B45E8E">
      <w:pPr>
        <w:rPr>
          <w:rFonts w:ascii="Verdana" w:hAnsi="Verdana"/>
        </w:rPr>
      </w:pPr>
    </w:p>
    <w:p w:rsidR="00B45E8E" w:rsidRDefault="00990E25">
      <w:pPr>
        <w:numPr>
          <w:ilvl w:val="0"/>
          <w:numId w:val="2"/>
        </w:numPr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(КЭП)</w:t>
      </w:r>
    </w:p>
    <w:p w:rsidR="00B45E8E" w:rsidRDefault="00B45E8E">
      <w:pPr>
        <w:ind w:left="709"/>
        <w:jc w:val="both"/>
        <w:rPr>
          <w:rFonts w:ascii="Verdana" w:hAnsi="Verdana"/>
        </w:rPr>
      </w:pPr>
    </w:p>
    <w:p w:rsidR="00B45E8E" w:rsidRDefault="00990E25" w:rsidP="003B31E2">
      <w:pPr>
        <w:numPr>
          <w:ilvl w:val="1"/>
          <w:numId w:val="2"/>
        </w:numPr>
        <w:ind w:left="0" w:firstLine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При выставлении и получении счетов-фактур Стороны руководствуются порядком, закрепленным в приказе Минфина России от </w:t>
      </w:r>
      <w:bookmarkStart w:id="0" w:name="_GoBack"/>
      <w:bookmarkEnd w:id="0"/>
      <w:r>
        <w:rPr>
          <w:rFonts w:ascii="Verdana" w:hAnsi="Verdana"/>
          <w:sz w:val="22"/>
          <w:szCs w:val="22"/>
        </w:rPr>
        <w:t>05.02.2021 № 14н</w:t>
      </w:r>
      <w:r>
        <w:rPr>
          <w:rFonts w:ascii="Verdana" w:hAnsi="Verdana" w:cs="Verdana"/>
          <w:sz w:val="22"/>
          <w:szCs w:val="22"/>
        </w:rPr>
        <w:t xml:space="preserve"> «</w:t>
      </w:r>
      <w:r w:rsidR="003B31E2" w:rsidRPr="003B31E2">
        <w:rPr>
          <w:rFonts w:ascii="Verdana" w:hAnsi="Verdana" w:cs="Verdana"/>
          <w:sz w:val="22"/>
          <w:szCs w:val="22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>
        <w:rPr>
          <w:rFonts w:ascii="Verdana" w:hAnsi="Verdana" w:cs="Verdana"/>
          <w:sz w:val="22"/>
          <w:szCs w:val="22"/>
        </w:rPr>
        <w:t>».</w:t>
      </w:r>
    </w:p>
    <w:p w:rsidR="00B45E8E" w:rsidRDefault="00B45E8E">
      <w:pPr>
        <w:ind w:left="709"/>
        <w:jc w:val="both"/>
        <w:rPr>
          <w:rFonts w:ascii="Verdana" w:hAnsi="Verdana"/>
          <w:sz w:val="22"/>
          <w:szCs w:val="22"/>
        </w:rPr>
      </w:pPr>
    </w:p>
    <w:p w:rsidR="00B45E8E" w:rsidRDefault="00990E25">
      <w:pPr>
        <w:numPr>
          <w:ilvl w:val="0"/>
          <w:numId w:val="2"/>
        </w:numPr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ПОРЯДОК ВЫСТАВЛЕНИЯ, НАПРАВЛЕНИЯ И ОБМЕНА ФОРМАЛИЗОВАННЫМИ И НЕФОРМАЛИЗОВАННЫМИ ЭЛЕКТРОННЫМИ ДОКУМЕНТАМИ ЧЕРЕЗ ОПЕРАТОРА</w:t>
      </w:r>
    </w:p>
    <w:p w:rsidR="00B45E8E" w:rsidRDefault="00B45E8E">
      <w:pPr>
        <w:ind w:left="709"/>
        <w:jc w:val="both"/>
        <w:rPr>
          <w:rFonts w:ascii="Verdana" w:hAnsi="Verdana"/>
        </w:rPr>
      </w:pP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Направляющая Сторона формирует необходимый Документ в электронном виде, подписывает его КЭП, упаковывает в транспортный контейнер и отправляет через Оператора Получающей Стороне.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отправки Документа, формирует ПДО и отправляет его Направляющей Стороне. 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Направляющая Сторона при получении ПДО проверяет действительность сертификата КЭП получающей стороны.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Получающая Сторона при получении Документа от Оператора проверяет действительность сертификата КЭП направляющей стороны.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Одновременно Получающая Сторона не позднее одного рабочего дня формирует ИОП, в котором фиксирует факт доставки Документа, пописывает его КЭП и отправляет Направляющей стороне через Оператора.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Направляющая сторона, получив ИОП, проверяет действительность сертификата КЭП получающей стороны.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Получающая Сторона, ознакомившись с Документом, может не позднее одного рабочего дня, со дня предоставления услуги или получения груза, совершить одно из следующих действий:</w:t>
      </w:r>
    </w:p>
    <w:p w:rsidR="00B45E8E" w:rsidRDefault="00990E25">
      <w:pPr>
        <w:numPr>
          <w:ilvl w:val="2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Сформировать Уведомление о принятии, которое представляет собой либо Титул покупателя (ТП) или Титул заказчика (ТЗ),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B45E8E" w:rsidRDefault="00990E25">
      <w:pPr>
        <w:numPr>
          <w:ilvl w:val="2"/>
          <w:numId w:val="2"/>
        </w:numPr>
        <w:ind w:left="0"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 Документ приему и исполнению не подлежит.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Направляющая Сторона, получившая ТП (ТЗ) либо УОУ, проверяет действительность сертификата КЭП</w:t>
      </w:r>
      <w:r>
        <w:t xml:space="preserve"> </w:t>
      </w:r>
      <w:r>
        <w:rPr>
          <w:rFonts w:ascii="Verdana" w:hAnsi="Verdana"/>
          <w:sz w:val="22"/>
          <w:szCs w:val="22"/>
        </w:rPr>
        <w:t>получающей стороны.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Одновременно, при получении УОУ, Направляющая сторона не позднее одного рабочего дня вносит исправления в полученный документ и повторяет действия, установленные п. 4.1. настоящей инструкции.</w:t>
      </w:r>
    </w:p>
    <w:p w:rsidR="00B45E8E" w:rsidRDefault="00B45E8E">
      <w:pPr>
        <w:ind w:left="709"/>
        <w:jc w:val="both"/>
        <w:rPr>
          <w:rFonts w:ascii="Verdana" w:hAnsi="Verdana"/>
          <w:sz w:val="22"/>
          <w:szCs w:val="22"/>
        </w:rPr>
      </w:pPr>
    </w:p>
    <w:p w:rsidR="00B45E8E" w:rsidRDefault="00990E25">
      <w:pPr>
        <w:numPr>
          <w:ilvl w:val="0"/>
          <w:numId w:val="2"/>
        </w:numPr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ПОРЯДОК ПРЯМОГО ОБМЕНА ФОРМАЛИЗОВАННЫМИ ЭЛЕКТРОННЫМИ ДОКУМЕНТАМИ</w:t>
      </w:r>
    </w:p>
    <w:p w:rsidR="00B45E8E" w:rsidRDefault="00990E25">
      <w:p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Направляющая Сторона формирует необходимый Документ в электронном виде, согласовывает в соответствии с назначенным на договор маршрутом визирования, подписывает его КЭП, направляет файл с документом в электронном виде в адрес Получающей Стороны. 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Получающая Сторона при получении Документа проверяет действительность сертификата КЭП</w:t>
      </w:r>
      <w:r>
        <w:t xml:space="preserve"> </w:t>
      </w:r>
      <w:r>
        <w:rPr>
          <w:rFonts w:ascii="Verdana" w:hAnsi="Verdana"/>
          <w:sz w:val="22"/>
          <w:szCs w:val="22"/>
        </w:rPr>
        <w:t>направляющей стороны.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Получающая Сторона, ознакомившись с Документом, может совершить одно из следующих действий не позднее одного рабочего дня, со дня предоставления услуги или получения груза:</w:t>
      </w:r>
    </w:p>
    <w:p w:rsidR="00B45E8E" w:rsidRDefault="00990E25">
      <w:pPr>
        <w:numPr>
          <w:ilvl w:val="2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Сформировать Уведомление о принятии, которое представляет собой либо Титул покупателя (ТП) или Титул заказчика (ТЗ) с КЭП Получающей Стороны и отправить Направляющей стороне – в том случае, если Получающая Сторона согласна с содержанием Документа.</w:t>
      </w:r>
    </w:p>
    <w:p w:rsidR="00B45E8E" w:rsidRDefault="00990E25">
      <w:pPr>
        <w:pStyle w:val="af0"/>
        <w:numPr>
          <w:ilvl w:val="2"/>
          <w:numId w:val="2"/>
        </w:numPr>
        <w:tabs>
          <w:tab w:val="left" w:pos="567"/>
        </w:tabs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несогласии с Документом (в случаях получения и подписания документов на бумажном носителе) сформировать Уведомление об уточнении (УОУ), указав причину несогласия- принят к учету бумажный документ, подписать его КЭП и отправить Направляющей Стороне через Оператора. ЭД приему и исполнению не подлежит и аннулируется.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lastRenderedPageBreak/>
        <w:t>При несогласии с содержанием Документа (по количеству, цене, стоимости, иным ошибкам в реквизитах документа) Получающая сторона Уведомление об уточнении (УОУ) не формирует, действия по уточнению документов осуществляет в порядке, установленном договором поставки продукции (договором на выполнение работ (услуг). Получающая сторона дополнительно направляет Направляющей Стороне письма об уточнении документов в бумажном виде. Направляющая Сторона, получившая Уведомление о принятии либо УОУ, проверяет действительность сертификата КЭП</w:t>
      </w:r>
      <w:r>
        <w:rPr>
          <w:rFonts w:ascii="Verdana" w:hAnsi="Verdana"/>
          <w:sz w:val="22"/>
          <w:szCs w:val="22"/>
        </w:rPr>
        <w:t xml:space="preserve">. 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Одновременно, при получении УОУ, Направляющая сторона не позднее одного рабочего дня вносит исправления в полученный документ и повторяет действия, установленные п. 5.1. настоящей инструкцией. 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отсутствии информации о невозможности обмена электронными документами и не подписания Получающей стороной документов КЭП, по истечении месяца с даты отправки документа, Получающая сторона обязана подписать документ КЭП или отправить по ЭДО Направляющей стороне сообщение о причинах не подписания.</w:t>
      </w:r>
    </w:p>
    <w:p w:rsidR="00B45E8E" w:rsidRDefault="00B45E8E">
      <w:pPr>
        <w:ind w:firstLine="709"/>
        <w:jc w:val="both"/>
        <w:rPr>
          <w:rFonts w:ascii="Verdana" w:hAnsi="Verdana"/>
          <w:sz w:val="22"/>
          <w:szCs w:val="22"/>
        </w:rPr>
      </w:pPr>
    </w:p>
    <w:p w:rsidR="00B45E8E" w:rsidRDefault="00990E25">
      <w:pPr>
        <w:numPr>
          <w:ilvl w:val="0"/>
          <w:numId w:val="2"/>
        </w:numPr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ПОРЯДОК ПРЯМОГО ОБМЕНА НЕФОРМАЛИЗОВАННЫМИ ЭЛЕКТРОННЫМИ ДОКУМЕНТАМИ </w:t>
      </w:r>
    </w:p>
    <w:p w:rsidR="00B45E8E" w:rsidRDefault="00B45E8E">
      <w:pPr>
        <w:ind w:left="709"/>
        <w:jc w:val="both"/>
        <w:rPr>
          <w:rFonts w:ascii="Verdana" w:hAnsi="Verdana"/>
        </w:rPr>
      </w:pP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Направляющая Сторона формирует необходимый Документ в электронном виде, согласовывает в соответствии с назначенным маршрутом визирования, подписывает его КЭП, направляет файл с документом в электронном виде в адрес Получающей Стороны. 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Договор, приложение к договору, дополнительное соглашение, спецификация, другие документы, являющиеся неотъемлемой частью договора, подписанные КЭП, а также иные документы, не требующие подписания </w:t>
      </w:r>
      <w:proofErr w:type="gramStart"/>
      <w:r>
        <w:rPr>
          <w:rFonts w:ascii="Verdana" w:hAnsi="Verdana"/>
          <w:sz w:val="22"/>
          <w:szCs w:val="22"/>
        </w:rPr>
        <w:t>КЭП,  передаются</w:t>
      </w:r>
      <w:proofErr w:type="gramEnd"/>
      <w:r>
        <w:rPr>
          <w:rFonts w:ascii="Verdana" w:hAnsi="Verdana"/>
          <w:sz w:val="22"/>
          <w:szCs w:val="22"/>
        </w:rPr>
        <w:t xml:space="preserve"> Направляющей стороной отдельными файлами (в одном файле один документ).  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Получающая Сторона при получении Документа проверяет действительность сертификата КЭП</w:t>
      </w:r>
      <w:r>
        <w:t xml:space="preserve"> </w:t>
      </w:r>
      <w:r>
        <w:rPr>
          <w:rFonts w:ascii="Verdana" w:hAnsi="Verdana"/>
          <w:sz w:val="22"/>
          <w:szCs w:val="22"/>
        </w:rPr>
        <w:t>направляющей стороны.</w:t>
      </w:r>
    </w:p>
    <w:p w:rsidR="00B45E8E" w:rsidRDefault="00990E25">
      <w:pPr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B45E8E" w:rsidRDefault="00990E25">
      <w:pPr>
        <w:numPr>
          <w:ilvl w:val="2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B45E8E" w:rsidRDefault="00990E25">
      <w:pPr>
        <w:numPr>
          <w:ilvl w:val="2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несогласии с содержанием Документа – не подписывать Документ, сформировать Уведомление об уточнении (УОУ), содержащий причину отказа, и отправить его Направляющей стороне.</w:t>
      </w:r>
    </w:p>
    <w:p w:rsidR="00B45E8E" w:rsidRDefault="00990E25">
      <w:pPr>
        <w:pStyle w:val="af0"/>
        <w:numPr>
          <w:ilvl w:val="1"/>
          <w:numId w:val="2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Направляющая Сторона, получившая Документ, проверяет действительность сертификата КЭП получающей стороны.</w:t>
      </w:r>
      <w:r>
        <w:rPr>
          <w:rFonts w:ascii="Verdana" w:hAnsi="Verdana"/>
          <w:sz w:val="22"/>
          <w:szCs w:val="22"/>
          <w:highlight w:val="green"/>
        </w:rPr>
        <w:t xml:space="preserve"> </w:t>
      </w:r>
    </w:p>
    <w:p w:rsidR="00B45E8E" w:rsidRDefault="00B45E8E">
      <w:pPr>
        <w:jc w:val="both"/>
      </w:pPr>
    </w:p>
    <w:sectPr w:rsidR="00B45E8E">
      <w:pgSz w:w="11906" w:h="16838"/>
      <w:pgMar w:top="1134" w:right="849" w:bottom="113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54B94"/>
    <w:multiLevelType w:val="multilevel"/>
    <w:tmpl w:val="59E2C73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667045"/>
    <w:multiLevelType w:val="multilevel"/>
    <w:tmpl w:val="8DA0CE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8E"/>
    <w:rsid w:val="003B31E2"/>
    <w:rsid w:val="00990E25"/>
    <w:rsid w:val="00B4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705A5-A6CC-4554-B25B-CE8AB2A4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47D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B147D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47D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147D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147DA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147D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147DA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147D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B147D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6A5533"/>
    <w:rPr>
      <w:rFonts w:ascii="Tahoma" w:hAnsi="Tahoma" w:cs="Tahoma"/>
      <w:sz w:val="16"/>
      <w:szCs w:val="16"/>
    </w:rPr>
  </w:style>
  <w:style w:type="character" w:styleId="a4">
    <w:name w:val="annotation reference"/>
    <w:semiHidden/>
    <w:qFormat/>
    <w:rsid w:val="00573CDC"/>
    <w:rPr>
      <w:sz w:val="16"/>
      <w:szCs w:val="16"/>
    </w:rPr>
  </w:style>
  <w:style w:type="character" w:customStyle="1" w:styleId="10">
    <w:name w:val="Заголовок 1 Знак"/>
    <w:link w:val="1"/>
    <w:qFormat/>
    <w:rsid w:val="00B147D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semiHidden/>
    <w:qFormat/>
    <w:rsid w:val="00B147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qFormat/>
    <w:rsid w:val="00B147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qFormat/>
    <w:rsid w:val="00B147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qFormat/>
    <w:rsid w:val="00B147D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qFormat/>
    <w:rsid w:val="00B147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qFormat/>
    <w:rsid w:val="00B147D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qFormat/>
    <w:rsid w:val="00B147D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qFormat/>
    <w:rsid w:val="00B147DA"/>
    <w:rPr>
      <w:rFonts w:ascii="Cambria" w:eastAsia="Times New Roman" w:hAnsi="Cambria" w:cs="Times New Roman"/>
      <w:sz w:val="22"/>
      <w:szCs w:val="22"/>
    </w:rPr>
  </w:style>
  <w:style w:type="character" w:customStyle="1" w:styleId="-">
    <w:name w:val="Интернет-ссылка"/>
    <w:uiPriority w:val="99"/>
    <w:unhideWhenUsed/>
    <w:rsid w:val="00407D58"/>
    <w:rPr>
      <w:color w:val="0000FF"/>
      <w:u w:val="single"/>
    </w:rPr>
  </w:style>
  <w:style w:type="character" w:customStyle="1" w:styleId="a5">
    <w:name w:val="Основной текст с отступом Знак"/>
    <w:qFormat/>
    <w:rsid w:val="00F745AB"/>
    <w:rPr>
      <w:sz w:val="24"/>
    </w:rPr>
  </w:style>
  <w:style w:type="character" w:customStyle="1" w:styleId="ListLabel1">
    <w:name w:val="ListLabel 1"/>
    <w:qFormat/>
    <w:rPr>
      <w:rFonts w:ascii="Verdana" w:hAnsi="Verdana"/>
      <w:b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 w:val="0"/>
      <w:sz w:val="22"/>
      <w:szCs w:val="22"/>
    </w:rPr>
  </w:style>
  <w:style w:type="character" w:customStyle="1" w:styleId="ListLabel6">
    <w:name w:val="ListLabel 6"/>
    <w:qFormat/>
    <w:rPr>
      <w:b w:val="0"/>
      <w:sz w:val="22"/>
      <w:szCs w:val="22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b w:val="0"/>
      <w:sz w:val="22"/>
      <w:szCs w:val="22"/>
    </w:rPr>
  </w:style>
  <w:style w:type="character" w:customStyle="1" w:styleId="ListLabel11">
    <w:name w:val="ListLabel 11"/>
    <w:qFormat/>
    <w:rPr>
      <w:rFonts w:ascii="Verdana" w:hAnsi="Verdana"/>
      <w:sz w:val="22"/>
      <w:szCs w:val="22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qFormat/>
    <w:rsid w:val="006A5533"/>
    <w:rPr>
      <w:rFonts w:ascii="Tahoma" w:hAnsi="Tahoma"/>
      <w:sz w:val="16"/>
      <w:szCs w:val="16"/>
    </w:rPr>
  </w:style>
  <w:style w:type="paragraph" w:styleId="ac">
    <w:name w:val="annotation text"/>
    <w:basedOn w:val="a"/>
    <w:semiHidden/>
    <w:qFormat/>
    <w:rsid w:val="00573CDC"/>
    <w:rPr>
      <w:sz w:val="20"/>
      <w:szCs w:val="20"/>
    </w:rPr>
  </w:style>
  <w:style w:type="paragraph" w:styleId="ad">
    <w:name w:val="annotation subject"/>
    <w:basedOn w:val="ac"/>
    <w:next w:val="ac"/>
    <w:semiHidden/>
    <w:qFormat/>
    <w:rsid w:val="00573CDC"/>
    <w:rPr>
      <w:b/>
      <w:bCs/>
    </w:rPr>
  </w:style>
  <w:style w:type="paragraph" w:styleId="ae">
    <w:name w:val="Body Text Indent"/>
    <w:basedOn w:val="a"/>
    <w:rsid w:val="00F745AB"/>
    <w:pPr>
      <w:ind w:left="426" w:hanging="426"/>
    </w:pPr>
    <w:rPr>
      <w:szCs w:val="20"/>
    </w:rPr>
  </w:style>
  <w:style w:type="paragraph" w:styleId="af">
    <w:name w:val="Revision"/>
    <w:uiPriority w:val="99"/>
    <w:semiHidden/>
    <w:qFormat/>
    <w:rsid w:val="00DF1AF0"/>
    <w:rPr>
      <w:sz w:val="24"/>
      <w:szCs w:val="24"/>
    </w:rPr>
  </w:style>
  <w:style w:type="paragraph" w:styleId="af0">
    <w:name w:val="List Paragraph"/>
    <w:basedOn w:val="a"/>
    <w:uiPriority w:val="34"/>
    <w:qFormat/>
    <w:rsid w:val="0071079D"/>
    <w:pPr>
      <w:ind w:left="708"/>
    </w:pPr>
  </w:style>
  <w:style w:type="table" w:styleId="af1">
    <w:name w:val="Table Grid"/>
    <w:basedOn w:val="a1"/>
    <w:uiPriority w:val="59"/>
    <w:rsid w:val="0053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.tensor.ru/wiki/index.php/&#1069;&#1083;&#1077;&#1082;&#1090;&#1088;&#1086;&#1085;&#1085;&#1099;&#1081;_&#1076;&#1086;&#1082;&#1091;&#1084;&#1077;&#1085;&#109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.tensor.ru/wiki/index.php/&#1069;&#105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.tensor.ru/wiki/index.php/&#1069;&#1083;&#1077;&#1082;&#1090;&#1088;&#1086;&#1085;&#1085;&#1099;&#1081;_&#1076;&#1086;&#1082;&#1091;&#1084;&#1077;&#1085;&#1090;" TargetMode="External"/><Relationship Id="rId5" Type="http://schemas.openxmlformats.org/officeDocument/2006/relationships/hyperlink" Target="http://wi.tensor.ru/wiki/index.php/&#1054;&#1087;&#1077;&#1088;&#1072;&#1090;&#1086;&#1088;_&#1089;&#1074;&#1103;&#1079;&#1080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1641</Words>
  <Characters>9355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ОБ ОРГАНИЗАЦИИ ЭЛЕКТРОННОГО ВЗАИМОДЕЙСТВИЯ</dc:title>
  <dc:subject/>
  <dc:creator>Puschin_V</dc:creator>
  <dc:description/>
  <cp:lastModifiedBy>Вечканова Ольга Юрьевна</cp:lastModifiedBy>
  <cp:revision>5</cp:revision>
  <cp:lastPrinted>2017-03-31T07:34:00Z</cp:lastPrinted>
  <dcterms:created xsi:type="dcterms:W3CDTF">2020-02-05T10:46:00Z</dcterms:created>
  <dcterms:modified xsi:type="dcterms:W3CDTF">2021-12-01T10:12:00Z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